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6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 w14:paraId="0B625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szCs w:val="32"/>
        </w:rPr>
      </w:pPr>
    </w:p>
    <w:p w14:paraId="56213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课程教学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赛道方案</w:t>
      </w:r>
    </w:p>
    <w:p w14:paraId="1AD67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082F5A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451805E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Cs/>
          <w:color w:val="000000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6B0C428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  <w:highlight w:val="none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highlight w:val="none"/>
        </w:rPr>
        <w:t>参赛组别和对象</w:t>
      </w:r>
    </w:p>
    <w:p w14:paraId="09CDCA5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参赛组别：高教组</w:t>
      </w:r>
    </w:p>
    <w:p w14:paraId="6847EF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（二）参赛对象：普通高等学校开设的大学生职业发展与就业指导类课程（不含创新创业类课程和相关专业类课程），每校限1门，学校确定1名课程主讲教师（须是学校在编或正式聘用人员）作为选手参加现场比赛。比赛主要面向必修课程，有特色的选修课程也可参赛，课程近3年开设至少2轮。</w:t>
      </w:r>
    </w:p>
    <w:p w14:paraId="111C04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5020D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（一）课程教学赛道参赛申报表。包括课程概述、课程目标、课程团队、特色创新点等方面内容。</w:t>
      </w:r>
    </w:p>
    <w:p w14:paraId="7A331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（二）课程支撑材料。包括课程教案、评教结果及其他证明材料（合并成单</w:t>
      </w:r>
      <w:r>
        <w:rPr>
          <w:rFonts w:hint="eastAsia" w:ascii="仿宋_GB2312" w:hAnsi="仿宋_GB2312" w:eastAsia="仿宋_GB2312" w:cs="仿宋_GB231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</w:rPr>
        <w:t>PDF格式文件，不超过30MB）。</w:t>
      </w:r>
    </w:p>
    <w:p w14:paraId="2F074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（三）参赛材料提交时间及方式另行通知。</w:t>
      </w:r>
    </w:p>
    <w:p w14:paraId="43BF6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（四）参赛课程应保证相关参赛材料的原创性，不得抄袭、剽窃他人作品，如产生侵权行为或涉及知识产权纠纷，由参赛选手及所在高校承担相应责任。</w:t>
      </w:r>
    </w:p>
    <w:p w14:paraId="3940A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 在 全 国 大 学 生 职 业 规 划 大 赛 官 网 （ 网 址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zgs.chsi.com.cn）下载课程教学赛道参赛申报表、课程支撑材料一览表等材料。</w:t>
      </w:r>
    </w:p>
    <w:p w14:paraId="0BD3F2C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25BE8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（一）课程建设情况汇报（6分钟）。选手展示课程创新探索、实施情况、成效体现等。</w:t>
      </w:r>
    </w:p>
    <w:p w14:paraId="11329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（二）教学展示（10分钟）。选手提供5个教学节段，现场随机抽取1个进行无生授课模式讲授。</w:t>
      </w:r>
    </w:p>
    <w:p w14:paraId="3330D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（三）互动答辩（6分钟）。评委针对选手汇报情况和教学展示提问，主要考察课程建设水平、特色创新改革（探索）效果等。</w:t>
      </w:r>
    </w:p>
    <w:p w14:paraId="7C1EC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五、评审标准</w:t>
      </w:r>
    </w:p>
    <w:p w14:paraId="5085D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现场比赛选手最终成绩由材料评审和现场比赛两部分成绩组成。</w:t>
      </w:r>
    </w:p>
    <w:p w14:paraId="48556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</w:p>
    <w:p w14:paraId="0B6AE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</w:p>
    <w:p w14:paraId="5B051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</w:p>
    <w:p w14:paraId="4C3ED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</w:p>
    <w:p w14:paraId="10736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</w:p>
    <w:p w14:paraId="61EFB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</w:p>
    <w:p w14:paraId="727E0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Cs w:val="32"/>
        </w:rPr>
      </w:pPr>
    </w:p>
    <w:tbl>
      <w:tblPr>
        <w:tblStyle w:val="18"/>
        <w:tblW w:w="8768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6179"/>
        <w:gridCol w:w="761"/>
      </w:tblGrid>
      <w:tr w14:paraId="7999A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768" w:type="dxa"/>
            <w:gridSpan w:val="3"/>
            <w:vAlign w:val="top"/>
          </w:tcPr>
          <w:p w14:paraId="26F9F74C">
            <w:pPr>
              <w:spacing w:before="258" w:line="219" w:lineRule="auto"/>
              <w:ind w:left="35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一、材料评审</w:t>
            </w:r>
          </w:p>
        </w:tc>
      </w:tr>
      <w:tr w14:paraId="0131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28" w:type="dxa"/>
            <w:vAlign w:val="top"/>
          </w:tcPr>
          <w:p w14:paraId="13FFCB2D">
            <w:pPr>
              <w:spacing w:before="262" w:line="219" w:lineRule="auto"/>
              <w:ind w:left="3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评价维度</w:t>
            </w:r>
          </w:p>
        </w:tc>
        <w:tc>
          <w:tcPr>
            <w:tcW w:w="6179" w:type="dxa"/>
            <w:vAlign w:val="top"/>
          </w:tcPr>
          <w:p w14:paraId="123E9922">
            <w:pPr>
              <w:spacing w:before="262" w:line="219" w:lineRule="auto"/>
              <w:ind w:left="25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评价要点</w:t>
            </w:r>
          </w:p>
        </w:tc>
        <w:tc>
          <w:tcPr>
            <w:tcW w:w="761" w:type="dxa"/>
            <w:vAlign w:val="top"/>
          </w:tcPr>
          <w:p w14:paraId="639FAC33">
            <w:pPr>
              <w:spacing w:before="225" w:line="219" w:lineRule="auto"/>
              <w:ind w:left="2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分</w:t>
            </w:r>
          </w:p>
        </w:tc>
      </w:tr>
      <w:tr w14:paraId="27F68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828" w:type="dxa"/>
            <w:vMerge w:val="restart"/>
            <w:tcBorders>
              <w:bottom w:val="nil"/>
            </w:tcBorders>
            <w:vAlign w:val="center"/>
          </w:tcPr>
          <w:p w14:paraId="0D7D3222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C9EC4B6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79D015E">
            <w:pPr>
              <w:pStyle w:val="19"/>
              <w:spacing w:line="28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2AFED8F">
            <w:pPr>
              <w:pStyle w:val="19"/>
              <w:spacing w:line="282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258FF80">
            <w:pPr>
              <w:spacing w:before="91" w:line="386" w:lineRule="auto"/>
              <w:ind w:left="114" w:right="106" w:firstLine="23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1.课程定位及目标</w:t>
            </w:r>
          </w:p>
        </w:tc>
        <w:tc>
          <w:tcPr>
            <w:tcW w:w="6179" w:type="dxa"/>
            <w:vAlign w:val="center"/>
          </w:tcPr>
          <w:p w14:paraId="5C8F03E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 w14:paraId="139DE94C">
            <w:pPr>
              <w:pStyle w:val="19"/>
              <w:spacing w:line="28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A062E5C">
            <w:pPr>
              <w:pStyle w:val="19"/>
              <w:spacing w:line="28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500B933">
            <w:pPr>
              <w:pStyle w:val="19"/>
              <w:spacing w:line="28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8107778">
            <w:pPr>
              <w:pStyle w:val="19"/>
              <w:spacing w:line="28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B2A6141">
            <w:pPr>
              <w:pStyle w:val="19"/>
              <w:spacing w:line="28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58E9BA8">
            <w:pPr>
              <w:spacing w:before="91" w:line="368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3928B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828" w:type="dxa"/>
            <w:vMerge w:val="continue"/>
            <w:tcBorders>
              <w:top w:val="nil"/>
            </w:tcBorders>
            <w:vAlign w:val="center"/>
          </w:tcPr>
          <w:p w14:paraId="7037C042">
            <w:pPr>
              <w:pStyle w:val="19"/>
              <w:jc w:val="center"/>
            </w:pPr>
          </w:p>
        </w:tc>
        <w:tc>
          <w:tcPr>
            <w:tcW w:w="6179" w:type="dxa"/>
            <w:vAlign w:val="center"/>
          </w:tcPr>
          <w:p w14:paraId="1EC5ECB0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vAlign w:val="center"/>
          </w:tcPr>
          <w:p w14:paraId="20F1D422">
            <w:pPr>
              <w:pStyle w:val="19"/>
              <w:jc w:val="center"/>
            </w:pPr>
          </w:p>
        </w:tc>
      </w:tr>
      <w:tr w14:paraId="43CF0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828" w:type="dxa"/>
            <w:vAlign w:val="center"/>
          </w:tcPr>
          <w:p w14:paraId="5D3AE83E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4EE8AF5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2.课程性质及覆盖面</w:t>
            </w:r>
          </w:p>
        </w:tc>
        <w:tc>
          <w:tcPr>
            <w:tcW w:w="6179" w:type="dxa"/>
            <w:vAlign w:val="center"/>
          </w:tcPr>
          <w:p w14:paraId="1F5D1ABD">
            <w:pPr>
              <w:pStyle w:val="19"/>
              <w:spacing w:line="281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761" w:type="dxa"/>
            <w:vAlign w:val="center"/>
          </w:tcPr>
          <w:p w14:paraId="1FE631FF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EB5B826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148FE9E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6B3D449">
            <w:pPr>
              <w:pStyle w:val="19"/>
              <w:spacing w:line="281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</w:tbl>
    <w:p w14:paraId="55E9EA62">
      <w:pPr>
        <w:rPr>
          <w:rFonts w:ascii="Arial"/>
          <w:sz w:val="21"/>
        </w:rPr>
      </w:pPr>
    </w:p>
    <w:p w14:paraId="10269341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531" w:bottom="1784" w:left="1544" w:header="0" w:footer="1531" w:gutter="0"/>
          <w:cols w:space="720" w:num="1"/>
        </w:sectPr>
      </w:pPr>
    </w:p>
    <w:p w14:paraId="44024C0F">
      <w:pPr>
        <w:spacing w:before="63"/>
      </w:pPr>
    </w:p>
    <w:p w14:paraId="04D8C117">
      <w:pPr>
        <w:spacing w:before="63"/>
      </w:pPr>
    </w:p>
    <w:tbl>
      <w:tblPr>
        <w:tblStyle w:val="18"/>
        <w:tblW w:w="87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6179"/>
        <w:gridCol w:w="761"/>
      </w:tblGrid>
      <w:tr w14:paraId="3A0D2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828" w:type="dxa"/>
            <w:vMerge w:val="restart"/>
            <w:tcBorders>
              <w:bottom w:val="nil"/>
            </w:tcBorders>
            <w:vAlign w:val="center"/>
          </w:tcPr>
          <w:p w14:paraId="1D9F9533">
            <w:pPr>
              <w:pStyle w:val="19"/>
              <w:spacing w:line="259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B10602B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CC3F625">
            <w:pPr>
              <w:spacing w:before="91" w:line="384" w:lineRule="auto"/>
              <w:ind w:left="149" w:right="106" w:hanging="8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3.课程教 师团队</w:t>
            </w:r>
          </w:p>
        </w:tc>
        <w:tc>
          <w:tcPr>
            <w:tcW w:w="6179" w:type="dxa"/>
            <w:vAlign w:val="center"/>
          </w:tcPr>
          <w:p w14:paraId="61C3B108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 w14:paraId="71901E6B">
            <w:pPr>
              <w:pStyle w:val="19"/>
              <w:spacing w:line="26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A0704A9">
            <w:pPr>
              <w:pStyle w:val="19"/>
              <w:spacing w:line="263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63D9C5B">
            <w:pPr>
              <w:pStyle w:val="19"/>
              <w:spacing w:line="263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B714736">
            <w:pPr>
              <w:spacing w:before="91" w:line="368" w:lineRule="exact"/>
              <w:ind w:left="266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</w:tr>
      <w:tr w14:paraId="2C64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828" w:type="dxa"/>
            <w:vMerge w:val="continue"/>
            <w:tcBorders>
              <w:top w:val="nil"/>
            </w:tcBorders>
            <w:vAlign w:val="center"/>
          </w:tcPr>
          <w:p w14:paraId="2EE7C9EE">
            <w:pPr>
              <w:pStyle w:val="19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79" w:type="dxa"/>
            <w:vAlign w:val="center"/>
          </w:tcPr>
          <w:p w14:paraId="10AB96C4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vAlign w:val="center"/>
          </w:tcPr>
          <w:p w14:paraId="7F5D2442">
            <w:pPr>
              <w:pStyle w:val="19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B04A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828" w:type="dxa"/>
            <w:vMerge w:val="restart"/>
            <w:tcBorders>
              <w:bottom w:val="nil"/>
            </w:tcBorders>
            <w:vAlign w:val="center"/>
          </w:tcPr>
          <w:p w14:paraId="722C0243">
            <w:pPr>
              <w:pStyle w:val="19"/>
              <w:spacing w:line="244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960A5CE">
            <w:pPr>
              <w:pStyle w:val="19"/>
              <w:spacing w:line="244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E7ECAB3">
            <w:pPr>
              <w:pStyle w:val="19"/>
              <w:spacing w:line="245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9DA9A90">
            <w:pPr>
              <w:spacing w:before="91" w:line="386" w:lineRule="auto"/>
              <w:ind w:left="114" w:right="106" w:firstLine="1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4.课程内 容及设计</w:t>
            </w:r>
          </w:p>
        </w:tc>
        <w:tc>
          <w:tcPr>
            <w:tcW w:w="6179" w:type="dxa"/>
            <w:vAlign w:val="center"/>
          </w:tcPr>
          <w:p w14:paraId="657D3901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 w14:paraId="4A6E63C7">
            <w:pPr>
              <w:pStyle w:val="19"/>
              <w:spacing w:line="249" w:lineRule="auto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ECA8F0F">
            <w:pPr>
              <w:pStyle w:val="19"/>
              <w:spacing w:line="24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14D52B2">
            <w:pPr>
              <w:spacing w:before="91" w:line="368" w:lineRule="exact"/>
              <w:ind w:left="259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 w14:paraId="13087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828" w:type="dxa"/>
            <w:vMerge w:val="continue"/>
            <w:tcBorders>
              <w:top w:val="nil"/>
              <w:bottom w:val="nil"/>
            </w:tcBorders>
            <w:vAlign w:val="top"/>
          </w:tcPr>
          <w:p w14:paraId="788EEF22">
            <w:pPr>
              <w:pStyle w:val="19"/>
            </w:pPr>
          </w:p>
        </w:tc>
        <w:tc>
          <w:tcPr>
            <w:tcW w:w="6179" w:type="dxa"/>
            <w:vAlign w:val="top"/>
          </w:tcPr>
          <w:p w14:paraId="553E4BC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</w:tcBorders>
            <w:vAlign w:val="top"/>
          </w:tcPr>
          <w:p w14:paraId="7F35CFC2">
            <w:pPr>
              <w:pStyle w:val="19"/>
            </w:pPr>
          </w:p>
        </w:tc>
      </w:tr>
      <w:tr w14:paraId="354F1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 w14:paraId="266C46F9">
            <w:pPr>
              <w:pStyle w:val="19"/>
            </w:pPr>
          </w:p>
        </w:tc>
        <w:tc>
          <w:tcPr>
            <w:tcW w:w="6179" w:type="dxa"/>
            <w:vAlign w:val="top"/>
          </w:tcPr>
          <w:p w14:paraId="0D5BBC43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3E0399A2">
            <w:pPr>
              <w:pStyle w:val="19"/>
            </w:pPr>
          </w:p>
        </w:tc>
      </w:tr>
      <w:tr w14:paraId="6B10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828" w:type="dxa"/>
            <w:vMerge w:val="restart"/>
            <w:tcBorders>
              <w:bottom w:val="nil"/>
            </w:tcBorders>
            <w:vAlign w:val="top"/>
          </w:tcPr>
          <w:p w14:paraId="147124D1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63F0924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0CD4094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AA69EC5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7317753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5. 课 程 建 设与改革</w:t>
            </w:r>
          </w:p>
        </w:tc>
        <w:tc>
          <w:tcPr>
            <w:tcW w:w="6179" w:type="dxa"/>
            <w:vAlign w:val="top"/>
          </w:tcPr>
          <w:p w14:paraId="281B3204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课程开设3年以上，在建设发展过程中持续改进优化，课程资源等建设成果突出，出版或选用高质量教材，按需组织修订或更新调整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0D871F62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0D594AE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49A101D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8B9380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0672F21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D447B2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</w:tr>
      <w:tr w14:paraId="2421B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828" w:type="dxa"/>
            <w:vMerge w:val="continue"/>
            <w:tcBorders>
              <w:top w:val="nil"/>
              <w:bottom w:val="nil"/>
            </w:tcBorders>
            <w:vAlign w:val="top"/>
          </w:tcPr>
          <w:p w14:paraId="16091270">
            <w:pPr>
              <w:pStyle w:val="19"/>
            </w:pPr>
          </w:p>
        </w:tc>
        <w:tc>
          <w:tcPr>
            <w:tcW w:w="6179" w:type="dxa"/>
            <w:vAlign w:val="top"/>
          </w:tcPr>
          <w:p w14:paraId="7BB3AA4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形成较有特色课程建设模式，教学研究及教改成果丰富，获得代表性教学奖励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</w:tcBorders>
            <w:vAlign w:val="top"/>
          </w:tcPr>
          <w:p w14:paraId="4A353674">
            <w:pPr>
              <w:pStyle w:val="19"/>
            </w:pPr>
          </w:p>
        </w:tc>
      </w:tr>
      <w:tr w14:paraId="33D0D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 w14:paraId="3DFB8E07">
            <w:pPr>
              <w:pStyle w:val="19"/>
            </w:pPr>
          </w:p>
        </w:tc>
        <w:tc>
          <w:tcPr>
            <w:tcW w:w="6179" w:type="dxa"/>
            <w:vAlign w:val="top"/>
          </w:tcPr>
          <w:p w14:paraId="6BB1AA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有今后3年的课程建设计划，改进方向明确，问题导向、效果导向突出，改进措施具体可行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14D08FB2">
            <w:pPr>
              <w:pStyle w:val="19"/>
            </w:pPr>
          </w:p>
        </w:tc>
      </w:tr>
    </w:tbl>
    <w:p w14:paraId="3A4D3CCB">
      <w:pPr>
        <w:rPr>
          <w:rFonts w:ascii="Arial"/>
          <w:sz w:val="21"/>
        </w:rPr>
      </w:pPr>
    </w:p>
    <w:p w14:paraId="0972134C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566" w:bottom="1784" w:left="1566" w:header="0" w:footer="1531" w:gutter="0"/>
          <w:cols w:space="720" w:num="1"/>
        </w:sectPr>
      </w:pPr>
    </w:p>
    <w:p w14:paraId="7B50689A">
      <w:pPr>
        <w:spacing w:before="63"/>
      </w:pPr>
    </w:p>
    <w:p w14:paraId="05337EB5">
      <w:pPr>
        <w:spacing w:before="63"/>
      </w:pPr>
    </w:p>
    <w:tbl>
      <w:tblPr>
        <w:tblStyle w:val="18"/>
        <w:tblW w:w="87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6179"/>
        <w:gridCol w:w="761"/>
      </w:tblGrid>
      <w:tr w14:paraId="636D3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828" w:type="dxa"/>
            <w:vMerge w:val="restart"/>
            <w:tcBorders>
              <w:bottom w:val="nil"/>
            </w:tcBorders>
            <w:vAlign w:val="top"/>
          </w:tcPr>
          <w:p w14:paraId="1C2B746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424EF83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EE7EE9B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91744E7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06DC74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6BCD77A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BFC5587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6. 课程特色创新点</w:t>
            </w:r>
          </w:p>
        </w:tc>
        <w:tc>
          <w:tcPr>
            <w:tcW w:w="6179" w:type="dxa"/>
            <w:vAlign w:val="top"/>
          </w:tcPr>
          <w:p w14:paraId="4AD53CCE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6E682CEC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4F6BA39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906BAE0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300A87F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0D36195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FE1ABE9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2F3FE59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 w14:paraId="7FFC1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 w14:paraId="0EEAB309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79" w:type="dxa"/>
            <w:vAlign w:val="top"/>
          </w:tcPr>
          <w:p w14:paraId="492ACB9A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教学中精准把握学生个性化诉求，运用AI赋能、体验式学习等手段开展教学方法创新，具备较强的借鉴和推广价值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44BABA34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5ADB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828" w:type="dxa"/>
            <w:vMerge w:val="restart"/>
            <w:tcBorders>
              <w:bottom w:val="nil"/>
            </w:tcBorders>
            <w:vAlign w:val="top"/>
          </w:tcPr>
          <w:p w14:paraId="7B3137AE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3BAA6B5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40E9A7B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7F9C35F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7.课程实施</w:t>
            </w:r>
          </w:p>
          <w:p w14:paraId="567D9B82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成效</w:t>
            </w:r>
          </w:p>
        </w:tc>
        <w:tc>
          <w:tcPr>
            <w:tcW w:w="6179" w:type="dxa"/>
            <w:vAlign w:val="top"/>
          </w:tcPr>
          <w:p w14:paraId="32D89352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10459F2C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0710770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2438542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32B540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31BFD31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22F6C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 w14:paraId="03479F1E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79" w:type="dxa"/>
            <w:vAlign w:val="top"/>
          </w:tcPr>
          <w:p w14:paraId="544FA9A4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3D33B0C9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269F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28" w:type="dxa"/>
            <w:vAlign w:val="top"/>
          </w:tcPr>
          <w:p w14:paraId="3A1C0D3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总分</w:t>
            </w:r>
          </w:p>
        </w:tc>
        <w:tc>
          <w:tcPr>
            <w:tcW w:w="6179" w:type="dxa"/>
            <w:vAlign w:val="top"/>
          </w:tcPr>
          <w:p w14:paraId="744FDFA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1" w:type="dxa"/>
            <w:vAlign w:val="top"/>
          </w:tcPr>
          <w:p w14:paraId="28E1A6C7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100</w:t>
            </w:r>
          </w:p>
        </w:tc>
      </w:tr>
    </w:tbl>
    <w:p w14:paraId="242FF013">
      <w:pPr>
        <w:spacing w:before="138"/>
      </w:pPr>
    </w:p>
    <w:tbl>
      <w:tblPr>
        <w:tblStyle w:val="18"/>
        <w:tblW w:w="8741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5543"/>
        <w:gridCol w:w="929"/>
      </w:tblGrid>
      <w:tr w14:paraId="0A204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41" w:type="dxa"/>
            <w:gridSpan w:val="3"/>
            <w:vAlign w:val="top"/>
          </w:tcPr>
          <w:p w14:paraId="4943B994">
            <w:pPr>
              <w:spacing w:before="134" w:line="219" w:lineRule="auto"/>
              <w:ind w:left="35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二、现场比赛</w:t>
            </w:r>
          </w:p>
        </w:tc>
      </w:tr>
      <w:tr w14:paraId="59BF0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69" w:type="dxa"/>
            <w:vAlign w:val="top"/>
          </w:tcPr>
          <w:p w14:paraId="31A5A321">
            <w:pPr>
              <w:spacing w:before="129" w:line="219" w:lineRule="auto"/>
              <w:ind w:left="5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评价维度</w:t>
            </w:r>
          </w:p>
        </w:tc>
        <w:tc>
          <w:tcPr>
            <w:tcW w:w="5543" w:type="dxa"/>
            <w:vAlign w:val="top"/>
          </w:tcPr>
          <w:p w14:paraId="7A707529">
            <w:pPr>
              <w:spacing w:before="129" w:line="219" w:lineRule="auto"/>
              <w:ind w:left="22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评价要点</w:t>
            </w:r>
          </w:p>
        </w:tc>
        <w:tc>
          <w:tcPr>
            <w:tcW w:w="929" w:type="dxa"/>
            <w:vAlign w:val="top"/>
          </w:tcPr>
          <w:p w14:paraId="6728C622">
            <w:pPr>
              <w:spacing w:before="130" w:line="219" w:lineRule="auto"/>
              <w:ind w:left="1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分值</w:t>
            </w:r>
          </w:p>
        </w:tc>
      </w:tr>
      <w:tr w14:paraId="78D8E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2269" w:type="dxa"/>
            <w:vAlign w:val="top"/>
          </w:tcPr>
          <w:p w14:paraId="4D17EB97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B8397B2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1.课程建设情况汇报与互动答辩</w:t>
            </w:r>
          </w:p>
        </w:tc>
        <w:tc>
          <w:tcPr>
            <w:tcW w:w="5543" w:type="dxa"/>
            <w:vAlign w:val="top"/>
          </w:tcPr>
          <w:p w14:paraId="54A42DC2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规定时间内汇报课程创新方法、实施情况、效果体现等。回答问题能够体现教师对课程建设的理解和思考，反映课程建设的特色、水平和对学生发展的促进作用</w:t>
            </w:r>
          </w:p>
        </w:tc>
        <w:tc>
          <w:tcPr>
            <w:tcW w:w="929" w:type="dxa"/>
            <w:vAlign w:val="top"/>
          </w:tcPr>
          <w:p w14:paraId="54190044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995AAFE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4BA0D1B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</w:tr>
      <w:tr w14:paraId="1DCDE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269" w:type="dxa"/>
            <w:vMerge w:val="restart"/>
            <w:tcBorders>
              <w:bottom w:val="nil"/>
            </w:tcBorders>
            <w:vAlign w:val="top"/>
          </w:tcPr>
          <w:p w14:paraId="40AE0ED3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59F1E33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C84BE6A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C53FC5B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2.教学展示</w:t>
            </w:r>
          </w:p>
        </w:tc>
        <w:tc>
          <w:tcPr>
            <w:tcW w:w="5543" w:type="dxa"/>
            <w:vAlign w:val="top"/>
          </w:tcPr>
          <w:p w14:paraId="7B58BC17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479E3A8D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5694AB2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A5C0085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95CEBDE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</w:tr>
      <w:tr w14:paraId="225A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269" w:type="dxa"/>
            <w:vMerge w:val="continue"/>
            <w:tcBorders>
              <w:top w:val="nil"/>
            </w:tcBorders>
            <w:vAlign w:val="top"/>
          </w:tcPr>
          <w:p w14:paraId="6B26EBF3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543" w:type="dxa"/>
            <w:vAlign w:val="top"/>
          </w:tcPr>
          <w:p w14:paraId="24AB9BF6">
            <w:pPr>
              <w:pStyle w:val="19"/>
              <w:spacing w:line="259" w:lineRule="auto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5F70BED1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AAFB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269" w:type="dxa"/>
            <w:vAlign w:val="top"/>
          </w:tcPr>
          <w:p w14:paraId="3AE95EE6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总分</w:t>
            </w:r>
          </w:p>
        </w:tc>
        <w:tc>
          <w:tcPr>
            <w:tcW w:w="5543" w:type="dxa"/>
            <w:vAlign w:val="top"/>
          </w:tcPr>
          <w:p w14:paraId="7371F308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29" w:type="dxa"/>
            <w:vAlign w:val="top"/>
          </w:tcPr>
          <w:p w14:paraId="703EC52F">
            <w:pPr>
              <w:pStyle w:val="19"/>
              <w:spacing w:line="259" w:lineRule="auto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100</w:t>
            </w:r>
          </w:p>
        </w:tc>
      </w:tr>
    </w:tbl>
    <w:p w14:paraId="5E228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</w:p>
    <w:p w14:paraId="442C2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六、奖项设置</w:t>
      </w:r>
    </w:p>
    <w:p w14:paraId="41B56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FF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课程教学赛道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设置特等奖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名、一等奖3名、二等奖5名、三等奖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0名、优秀奖若干名。</w:t>
      </w:r>
      <w:bookmarkStart w:id="0" w:name="_GoBack"/>
      <w:bookmarkEnd w:id="0"/>
    </w:p>
    <w:p w14:paraId="3E716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七、大赛联系人及联系方式</w:t>
      </w:r>
    </w:p>
    <w:p w14:paraId="1D0B0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郭洪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涛：</w:t>
      </w:r>
      <w:r>
        <w:rPr>
          <w:rFonts w:hint="eastAsia" w:ascii="仿宋_GB2312" w:hAnsi="仿宋_GB2312" w:eastAsia="仿宋_GB2312" w:cs="仿宋_GB2312"/>
          <w:szCs w:val="32"/>
        </w:rPr>
        <w:t>15275909287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（赛事QQ群：320664893）</w:t>
      </w:r>
    </w:p>
    <w:sectPr>
      <w:footerReference r:id="rId5" w:type="default"/>
      <w:pgSz w:w="11906" w:h="16838"/>
      <w:pgMar w:top="1814" w:right="1587" w:bottom="1417" w:left="1587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419226-DB16-4D6E-A9E6-91699BA634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8CB4FA-AC4E-40B5-A8C8-7D60E99C4A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601207-FB1F-4C8C-8EF3-BBFD6AD7C2D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EC3A7">
    <w:pPr>
      <w:spacing w:line="181" w:lineRule="auto"/>
      <w:ind w:left="753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3367E">
    <w:pPr>
      <w:spacing w:line="181" w:lineRule="auto"/>
      <w:ind w:left="27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18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94C8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6E7A7">
                          <w:pPr>
                            <w:snapToGrid w:val="0"/>
                            <w:ind w:left="320" w:leftChars="100" w:right="32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6E7A7"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0DB4751"/>
    <w:multiLevelType w:val="singleLevel"/>
    <w:tmpl w:val="10DB47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58"/>
  <w:drawingGridVerticalSpacing w:val="29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OGVlNWQ2ODc5YjJjM2UyNzMyNzEzNmZlMDE2N2EifQ=="/>
  </w:docVars>
  <w:rsids>
    <w:rsidRoot w:val="00571D48"/>
    <w:rsid w:val="00025AA3"/>
    <w:rsid w:val="0003493C"/>
    <w:rsid w:val="00036EB9"/>
    <w:rsid w:val="00062189"/>
    <w:rsid w:val="00084D46"/>
    <w:rsid w:val="00087C2C"/>
    <w:rsid w:val="00090F4F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B0F6F"/>
    <w:rsid w:val="003B4083"/>
    <w:rsid w:val="003F3DDA"/>
    <w:rsid w:val="003F5087"/>
    <w:rsid w:val="00416909"/>
    <w:rsid w:val="0044144A"/>
    <w:rsid w:val="00442E5C"/>
    <w:rsid w:val="00452B9D"/>
    <w:rsid w:val="00455B02"/>
    <w:rsid w:val="00493F4B"/>
    <w:rsid w:val="004A5A22"/>
    <w:rsid w:val="004D2325"/>
    <w:rsid w:val="004E0758"/>
    <w:rsid w:val="004E0D51"/>
    <w:rsid w:val="004E23D0"/>
    <w:rsid w:val="005012B0"/>
    <w:rsid w:val="00515E15"/>
    <w:rsid w:val="00543FC3"/>
    <w:rsid w:val="0056346F"/>
    <w:rsid w:val="00571D48"/>
    <w:rsid w:val="005804B3"/>
    <w:rsid w:val="00591861"/>
    <w:rsid w:val="005C7E75"/>
    <w:rsid w:val="005D0F55"/>
    <w:rsid w:val="005D2BD9"/>
    <w:rsid w:val="005E3944"/>
    <w:rsid w:val="0062734A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92874"/>
    <w:rsid w:val="007A5DEC"/>
    <w:rsid w:val="007C530A"/>
    <w:rsid w:val="007E2788"/>
    <w:rsid w:val="0082673B"/>
    <w:rsid w:val="00836330"/>
    <w:rsid w:val="00840B4E"/>
    <w:rsid w:val="00845C7A"/>
    <w:rsid w:val="00850A8E"/>
    <w:rsid w:val="00880A4B"/>
    <w:rsid w:val="008A79A2"/>
    <w:rsid w:val="008C45F4"/>
    <w:rsid w:val="00934CA2"/>
    <w:rsid w:val="009952D7"/>
    <w:rsid w:val="009A0B2E"/>
    <w:rsid w:val="009A6E3D"/>
    <w:rsid w:val="00A3638F"/>
    <w:rsid w:val="00A76F1D"/>
    <w:rsid w:val="00A8658A"/>
    <w:rsid w:val="00AC41F4"/>
    <w:rsid w:val="00AD35B8"/>
    <w:rsid w:val="00AD6A1A"/>
    <w:rsid w:val="00B30184"/>
    <w:rsid w:val="00B335C5"/>
    <w:rsid w:val="00BA6B74"/>
    <w:rsid w:val="00BC6E00"/>
    <w:rsid w:val="00BE0DE7"/>
    <w:rsid w:val="00BF1CB9"/>
    <w:rsid w:val="00BF6045"/>
    <w:rsid w:val="00BF6C99"/>
    <w:rsid w:val="00C44F74"/>
    <w:rsid w:val="00C537A9"/>
    <w:rsid w:val="00C621DB"/>
    <w:rsid w:val="00C839A2"/>
    <w:rsid w:val="00C92767"/>
    <w:rsid w:val="00CB3267"/>
    <w:rsid w:val="00CC1C3C"/>
    <w:rsid w:val="00D01A55"/>
    <w:rsid w:val="00D36238"/>
    <w:rsid w:val="00D44B6C"/>
    <w:rsid w:val="00D56B0D"/>
    <w:rsid w:val="00D705C5"/>
    <w:rsid w:val="00D8056F"/>
    <w:rsid w:val="00DA4716"/>
    <w:rsid w:val="00DB0283"/>
    <w:rsid w:val="00E00722"/>
    <w:rsid w:val="00E05D45"/>
    <w:rsid w:val="00E33AB1"/>
    <w:rsid w:val="00E5681F"/>
    <w:rsid w:val="00ED2A07"/>
    <w:rsid w:val="00EE4384"/>
    <w:rsid w:val="00EE4BDC"/>
    <w:rsid w:val="00F12AEB"/>
    <w:rsid w:val="00F2466C"/>
    <w:rsid w:val="00F34708"/>
    <w:rsid w:val="00F6344A"/>
    <w:rsid w:val="00FA218F"/>
    <w:rsid w:val="02945505"/>
    <w:rsid w:val="05521205"/>
    <w:rsid w:val="063D40C6"/>
    <w:rsid w:val="0A0B30E5"/>
    <w:rsid w:val="0E337A91"/>
    <w:rsid w:val="0ED96696"/>
    <w:rsid w:val="0F507BF8"/>
    <w:rsid w:val="1466358B"/>
    <w:rsid w:val="1C23476A"/>
    <w:rsid w:val="1CC67EEC"/>
    <w:rsid w:val="1D875BE8"/>
    <w:rsid w:val="1DFF0118"/>
    <w:rsid w:val="22E7416B"/>
    <w:rsid w:val="22EB2AB2"/>
    <w:rsid w:val="23707A36"/>
    <w:rsid w:val="241870D6"/>
    <w:rsid w:val="244C7B0E"/>
    <w:rsid w:val="270E2A3A"/>
    <w:rsid w:val="29A207C0"/>
    <w:rsid w:val="2BBF2F1B"/>
    <w:rsid w:val="2EE32969"/>
    <w:rsid w:val="2F8A1A96"/>
    <w:rsid w:val="3084393E"/>
    <w:rsid w:val="30A874C0"/>
    <w:rsid w:val="31583F6C"/>
    <w:rsid w:val="36E95DB3"/>
    <w:rsid w:val="39525E09"/>
    <w:rsid w:val="4182744A"/>
    <w:rsid w:val="47A61735"/>
    <w:rsid w:val="4C087DF1"/>
    <w:rsid w:val="4C0F6806"/>
    <w:rsid w:val="4E762F9B"/>
    <w:rsid w:val="51394A56"/>
    <w:rsid w:val="56A677F5"/>
    <w:rsid w:val="571C54C8"/>
    <w:rsid w:val="57646A29"/>
    <w:rsid w:val="599668F6"/>
    <w:rsid w:val="59AB1887"/>
    <w:rsid w:val="5D037181"/>
    <w:rsid w:val="5E8B0278"/>
    <w:rsid w:val="5EA507C4"/>
    <w:rsid w:val="5F7E69B9"/>
    <w:rsid w:val="621D2AC4"/>
    <w:rsid w:val="63635278"/>
    <w:rsid w:val="636C738A"/>
    <w:rsid w:val="67DD1302"/>
    <w:rsid w:val="6D127E09"/>
    <w:rsid w:val="6DFA6436"/>
    <w:rsid w:val="6DFDDACD"/>
    <w:rsid w:val="722F4C0D"/>
    <w:rsid w:val="734C59DD"/>
    <w:rsid w:val="783D7431"/>
    <w:rsid w:val="78481C3D"/>
    <w:rsid w:val="7BBA05DA"/>
    <w:rsid w:val="7C64147B"/>
    <w:rsid w:val="7CC115D1"/>
    <w:rsid w:val="7CFC7D9A"/>
    <w:rsid w:val="7F1FF8E3"/>
    <w:rsid w:val="7F7BB036"/>
    <w:rsid w:val="BFFA0240"/>
    <w:rsid w:val="FC7B8DDE"/>
    <w:rsid w:val="FDEF5EB9"/>
    <w:rsid w:val="FE4D8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Times New Roman" w:hAnsi="Times New Roman" w:eastAsia="宋体" w:cs="Times New Roman"/>
      <w:szCs w:val="32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批注文字 Char"/>
    <w:basedOn w:val="10"/>
    <w:semiHidden/>
    <w:qFormat/>
    <w:uiPriority w:val="99"/>
  </w:style>
  <w:style w:type="character" w:customStyle="1" w:styleId="16">
    <w:name w:val="批注文字 字符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7</Pages>
  <Words>2070</Words>
  <Characters>2133</Characters>
  <Lines>6</Lines>
  <Paragraphs>1</Paragraphs>
  <TotalTime>8</TotalTime>
  <ScaleCrop>false</ScaleCrop>
  <LinksUpToDate>false</LinksUpToDate>
  <CharactersWithSpaces>2163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2023-10-17T09:57:00Z</dcterms:created>
  <dc:creator>快雪时晴</dc:creator>
  <cp:lastModifiedBy>2019146013个小时化学反应justdo</cp:lastModifiedBy>
  <cp:lastPrinted>2023-10-18T07:12:00Z</cp:lastPrinted>
  <dcterms:modified xsi:type="dcterms:W3CDTF">2025-11-10T07:25:11Z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3E9FF512476E4C189245D6C8B1FCA550_13</vt:lpwstr>
  </property>
  <property fmtid="{D5CDD505-2E9C-101B-9397-08002B2CF9AE}" pid="4" name="KSOTemplateDocerSaveRecord">
    <vt:lpwstr>eyJoZGlkIjoiNzY4OGVlNWQ2ODc5YjJjM2UyNzMyNzEzNmZlMDE2N2EiLCJ1c2VySWQiOiI2NTQxNTI0MTUifQ==</vt:lpwstr>
  </property>
</Properties>
</file>