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page" w:horzAnchor="page" w:tblpX="1781" w:tblpY="2446"/>
        <w:tblOverlap w:val="never"/>
        <w:tblW w:w="85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0"/>
        <w:gridCol w:w="1874"/>
        <w:gridCol w:w="454"/>
        <w:gridCol w:w="827"/>
        <w:gridCol w:w="744"/>
        <w:gridCol w:w="689"/>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单位名称</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蓝帆医疗股份有限公司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单位地址</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eastAsia="zh-CN"/>
              </w:rPr>
              <w:t>淄博市临淄区一诺路</w:t>
            </w:r>
            <w:r>
              <w:rPr>
                <w:rFonts w:hint="eastAsia" w:ascii="黑体" w:hAnsi="黑体" w:eastAsia="黑体" w:cs="黑体"/>
                <w:sz w:val="24"/>
                <w:szCs w:val="32"/>
                <w:vertAlign w:val="baseline"/>
                <w:lang w:val="en-US" w:eastAsia="zh-CN"/>
              </w:rPr>
              <w:t>48号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联</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系</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人</w:t>
            </w:r>
          </w:p>
        </w:tc>
        <w:tc>
          <w:tcPr>
            <w:tcW w:w="2328"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高凤磊</w:t>
            </w:r>
          </w:p>
        </w:tc>
        <w:tc>
          <w:tcPr>
            <w:tcW w:w="1571"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联系电话</w:t>
            </w:r>
          </w:p>
        </w:tc>
        <w:tc>
          <w:tcPr>
            <w:tcW w:w="2597"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13645333526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简历投递邮箱</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hr@bluesail.cn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6" w:type="dxa"/>
            <w:gridSpan w:val="7"/>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8"/>
                <w:szCs w:val="36"/>
                <w:vertAlign w:val="baseline"/>
                <w:lang w:eastAsia="zh-CN"/>
              </w:rPr>
            </w:pPr>
            <w:r>
              <w:rPr>
                <w:rFonts w:hint="eastAsia" w:asciiTheme="minorEastAsia" w:hAnsiTheme="minorEastAsia" w:cstheme="minorEastAsia"/>
                <w:b/>
                <w:bCs/>
                <w:sz w:val="24"/>
                <w:szCs w:val="32"/>
                <w:vertAlign w:val="baseline"/>
                <w:lang w:eastAsia="zh-CN"/>
              </w:rPr>
              <w:t>单位简介（</w:t>
            </w:r>
            <w:r>
              <w:rPr>
                <w:rFonts w:hint="eastAsia" w:asciiTheme="minorEastAsia" w:hAnsiTheme="minorEastAsia" w:cstheme="minorEastAsia"/>
                <w:b/>
                <w:bCs/>
                <w:sz w:val="24"/>
                <w:szCs w:val="32"/>
                <w:vertAlign w:val="baseline"/>
                <w:lang w:val="en-US" w:eastAsia="zh-CN"/>
              </w:rPr>
              <w:t>200字以内</w:t>
            </w:r>
            <w:r>
              <w:rPr>
                <w:rFonts w:hint="eastAsia" w:asciiTheme="minorEastAsia" w:hAnsiTheme="minorEastAsia" w:cstheme="minorEastAsia"/>
                <w:b/>
                <w:bCs/>
                <w:sz w:val="24"/>
                <w:szCs w:val="32"/>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6" w:hRule="atLeast"/>
        </w:trPr>
        <w:tc>
          <w:tcPr>
            <w:tcW w:w="8566" w:type="dxa"/>
            <w:gridSpan w:val="7"/>
          </w:tcPr>
          <w:p>
            <w:pPr>
              <w:snapToGrid w:val="0"/>
              <w:spacing w:before="156" w:beforeLines="50" w:after="156" w:afterLines="50" w:line="360" w:lineRule="auto"/>
              <w:ind w:firstLine="480" w:firstLineChars="200"/>
              <w:jc w:val="left"/>
              <w:rPr>
                <w:rFonts w:hint="eastAsia" w:ascii="宋体" w:hAnsi="宋体" w:cs="宋体"/>
                <w:bCs/>
                <w:color w:val="000000"/>
                <w:kern w:val="0"/>
                <w:sz w:val="24"/>
                <w:szCs w:val="24"/>
              </w:rPr>
            </w:pPr>
            <w:r>
              <w:rPr>
                <w:rFonts w:hint="eastAsia" w:ascii="宋体" w:hAnsi="宋体" w:cs="宋体"/>
                <w:bCs/>
                <w:color w:val="000000"/>
                <w:kern w:val="0"/>
                <w:sz w:val="24"/>
                <w:szCs w:val="24"/>
              </w:rPr>
              <w:t>蓝帆医疗股份有限公司简称“蓝帆医疗”（股票代码002382），成立于2002年，</w:t>
            </w:r>
            <w:r>
              <w:rPr>
                <w:rFonts w:hint="eastAsia" w:ascii="宋体" w:hAnsi="宋体" w:cs="宋体"/>
                <w:bCs/>
                <w:color w:val="000000"/>
                <w:kern w:val="0"/>
                <w:sz w:val="24"/>
                <w:szCs w:val="24"/>
                <w:lang w:eastAsia="zh-CN"/>
              </w:rPr>
              <w:t>全球员工数</w:t>
            </w:r>
            <w:r>
              <w:rPr>
                <w:rFonts w:hint="eastAsia" w:ascii="宋体" w:hAnsi="宋体" w:cs="宋体"/>
                <w:bCs/>
                <w:color w:val="000000"/>
                <w:kern w:val="0"/>
                <w:sz w:val="24"/>
                <w:szCs w:val="24"/>
                <w:lang w:val="en-US" w:eastAsia="zh-CN"/>
              </w:rPr>
              <w:t>5500余人。</w:t>
            </w:r>
            <w:r>
              <w:rPr>
                <w:rFonts w:hint="eastAsia" w:ascii="宋体" w:hAnsi="宋体" w:cs="宋体"/>
                <w:bCs/>
                <w:color w:val="000000"/>
                <w:kern w:val="0"/>
                <w:sz w:val="24"/>
                <w:szCs w:val="24"/>
              </w:rPr>
              <w:t>是中低值耗材和高值耗材完整布局的医疗器械龙头企业。中低值耗材板块的主要产品为医疗手套、健康防护手套、急救包、医用敷料等为主的医疗防护产品线，主打产品PVC手套的全球市场份额22%。高值耗材板块的主要产品为心脏支架及介入性心脏手术相关器械产品，其业务通过新加坡柏盛国际集团来运营，在全球90多个国家拥有业务，心脏支架领域全球排名第四。</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8"/>
                <w:szCs w:val="36"/>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8566" w:type="dxa"/>
            <w:gridSpan w:val="7"/>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招</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聘</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职</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070"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岗位名称</w:t>
            </w:r>
          </w:p>
        </w:tc>
        <w:tc>
          <w:tcPr>
            <w:tcW w:w="1874"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所需专业</w:t>
            </w:r>
          </w:p>
        </w:tc>
        <w:tc>
          <w:tcPr>
            <w:tcW w:w="1281" w:type="dxa"/>
            <w:gridSpan w:val="2"/>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招聘人数</w:t>
            </w:r>
          </w:p>
        </w:tc>
        <w:tc>
          <w:tcPr>
            <w:tcW w:w="1433" w:type="dxa"/>
            <w:gridSpan w:val="2"/>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学历要求</w:t>
            </w:r>
          </w:p>
        </w:tc>
        <w:tc>
          <w:tcPr>
            <w:tcW w:w="1908"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薪资待遇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exact"/>
        </w:trPr>
        <w:tc>
          <w:tcPr>
            <w:tcW w:w="2070"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设备工程师</w:t>
            </w:r>
          </w:p>
        </w:tc>
        <w:tc>
          <w:tcPr>
            <w:tcW w:w="1874"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机械、电气、自动化等相关专业</w:t>
            </w:r>
          </w:p>
        </w:tc>
        <w:tc>
          <w:tcPr>
            <w:tcW w:w="1281" w:type="dxa"/>
            <w:gridSpan w:val="2"/>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50</w:t>
            </w:r>
          </w:p>
        </w:tc>
        <w:tc>
          <w:tcPr>
            <w:tcW w:w="1433" w:type="dxa"/>
            <w:gridSpan w:val="2"/>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本科</w:t>
            </w:r>
          </w:p>
        </w:tc>
        <w:tc>
          <w:tcPr>
            <w:tcW w:w="1908" w:type="dxa"/>
            <w:vAlign w:val="center"/>
          </w:tcPr>
          <w:p>
            <w:pPr>
              <w:jc w:val="center"/>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4500-5500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exact"/>
        </w:trPr>
        <w:tc>
          <w:tcPr>
            <w:tcW w:w="2070"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工艺工程师</w:t>
            </w:r>
          </w:p>
        </w:tc>
        <w:tc>
          <w:tcPr>
            <w:tcW w:w="1874"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化工、化学、高分子等相关专业</w:t>
            </w:r>
          </w:p>
        </w:tc>
        <w:tc>
          <w:tcPr>
            <w:tcW w:w="1281" w:type="dxa"/>
            <w:gridSpan w:val="2"/>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50</w:t>
            </w:r>
          </w:p>
        </w:tc>
        <w:tc>
          <w:tcPr>
            <w:tcW w:w="1433" w:type="dxa"/>
            <w:gridSpan w:val="2"/>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本科</w:t>
            </w:r>
          </w:p>
        </w:tc>
        <w:tc>
          <w:tcPr>
            <w:tcW w:w="1908" w:type="dxa"/>
            <w:vAlign w:val="center"/>
          </w:tcPr>
          <w:p>
            <w:pPr>
              <w:jc w:val="center"/>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4500-5500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jc w:val="center"/>
              <w:rPr>
                <w:rFonts w:hint="eastAsia" w:asciiTheme="minorEastAsia" w:hAnsiTheme="minorEastAsia" w:cstheme="minorEastAsia"/>
                <w:sz w:val="24"/>
                <w:szCs w:val="24"/>
                <w:vertAlign w:val="baseline"/>
                <w:lang w:eastAsia="zh-CN"/>
              </w:rPr>
            </w:pPr>
          </w:p>
        </w:tc>
        <w:tc>
          <w:tcPr>
            <w:tcW w:w="1874" w:type="dxa"/>
            <w:vAlign w:val="center"/>
          </w:tcPr>
          <w:p>
            <w:pPr>
              <w:jc w:val="center"/>
              <w:rPr>
                <w:rFonts w:hint="eastAsia" w:asciiTheme="minorEastAsia" w:hAnsiTheme="minorEastAsia" w:cstheme="minorEastAsia"/>
                <w:sz w:val="24"/>
                <w:szCs w:val="24"/>
                <w:vertAlign w:val="baseline"/>
                <w:lang w:eastAsia="zh-CN"/>
              </w:rPr>
            </w:pPr>
          </w:p>
        </w:tc>
        <w:tc>
          <w:tcPr>
            <w:tcW w:w="1281" w:type="dxa"/>
            <w:gridSpan w:val="2"/>
            <w:vAlign w:val="center"/>
          </w:tcPr>
          <w:p>
            <w:pPr>
              <w:jc w:val="center"/>
              <w:rPr>
                <w:rFonts w:hint="eastAsia" w:asciiTheme="minorEastAsia" w:hAnsiTheme="minorEastAsia" w:cstheme="minorEastAsia"/>
                <w:sz w:val="24"/>
                <w:szCs w:val="24"/>
                <w:vertAlign w:val="baseline"/>
                <w:lang w:eastAsia="zh-CN"/>
              </w:rPr>
            </w:pPr>
          </w:p>
        </w:tc>
        <w:tc>
          <w:tcPr>
            <w:tcW w:w="1433" w:type="dxa"/>
            <w:gridSpan w:val="2"/>
            <w:vAlign w:val="center"/>
          </w:tcPr>
          <w:p>
            <w:pPr>
              <w:jc w:val="center"/>
              <w:rPr>
                <w:rFonts w:hint="eastAsia" w:asciiTheme="minorEastAsia" w:hAnsiTheme="minorEastAsia" w:cstheme="minorEastAsia"/>
                <w:sz w:val="24"/>
                <w:szCs w:val="24"/>
                <w:vertAlign w:val="baseline"/>
                <w:lang w:eastAsia="zh-CN"/>
              </w:rPr>
            </w:pPr>
          </w:p>
        </w:tc>
        <w:tc>
          <w:tcPr>
            <w:tcW w:w="1908" w:type="dxa"/>
            <w:vAlign w:val="center"/>
          </w:tcPr>
          <w:p>
            <w:pPr>
              <w:jc w:val="center"/>
              <w:rPr>
                <w:rFonts w:hint="eastAsia" w:asciiTheme="minorEastAsia" w:hAnsiTheme="minorEastAsia" w:eastAsiaTheme="minorEastAsia" w:cstheme="minor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jc w:val="center"/>
              <w:rPr>
                <w:rFonts w:hint="eastAsia" w:asciiTheme="minorEastAsia" w:hAnsiTheme="minorEastAsia" w:cstheme="minorEastAsia"/>
                <w:sz w:val="24"/>
                <w:szCs w:val="24"/>
                <w:vertAlign w:val="baseline"/>
                <w:lang w:eastAsia="zh-CN"/>
              </w:rPr>
            </w:pPr>
          </w:p>
        </w:tc>
        <w:tc>
          <w:tcPr>
            <w:tcW w:w="1874" w:type="dxa"/>
            <w:vAlign w:val="center"/>
          </w:tcPr>
          <w:p>
            <w:pPr>
              <w:jc w:val="center"/>
              <w:rPr>
                <w:rFonts w:hint="eastAsia" w:asciiTheme="minorEastAsia" w:hAnsiTheme="minorEastAsia" w:cstheme="minorEastAsia"/>
                <w:sz w:val="24"/>
                <w:szCs w:val="24"/>
                <w:vertAlign w:val="baseline"/>
                <w:lang w:eastAsia="zh-CN"/>
              </w:rPr>
            </w:pPr>
          </w:p>
        </w:tc>
        <w:tc>
          <w:tcPr>
            <w:tcW w:w="1281" w:type="dxa"/>
            <w:gridSpan w:val="2"/>
            <w:vAlign w:val="center"/>
          </w:tcPr>
          <w:p>
            <w:pPr>
              <w:jc w:val="center"/>
              <w:rPr>
                <w:rFonts w:hint="eastAsia" w:asciiTheme="minorEastAsia" w:hAnsiTheme="minorEastAsia" w:cstheme="minorEastAsia"/>
                <w:sz w:val="24"/>
                <w:szCs w:val="24"/>
                <w:vertAlign w:val="baseline"/>
                <w:lang w:eastAsia="zh-CN"/>
              </w:rPr>
            </w:pPr>
          </w:p>
        </w:tc>
        <w:tc>
          <w:tcPr>
            <w:tcW w:w="1433" w:type="dxa"/>
            <w:gridSpan w:val="2"/>
            <w:vAlign w:val="center"/>
          </w:tcPr>
          <w:p>
            <w:pPr>
              <w:jc w:val="center"/>
              <w:rPr>
                <w:rFonts w:hint="eastAsia" w:asciiTheme="minorEastAsia" w:hAnsiTheme="minorEastAsia" w:cstheme="minorEastAsia"/>
                <w:sz w:val="24"/>
                <w:szCs w:val="24"/>
                <w:vertAlign w:val="baseline"/>
                <w:lang w:eastAsia="zh-CN"/>
              </w:rPr>
            </w:pPr>
          </w:p>
        </w:tc>
        <w:tc>
          <w:tcPr>
            <w:tcW w:w="1908" w:type="dxa"/>
            <w:vAlign w:val="center"/>
          </w:tcPr>
          <w:p>
            <w:pPr>
              <w:jc w:val="center"/>
              <w:rPr>
                <w:rFonts w:hint="eastAsia" w:asciiTheme="minorEastAsia" w:hAnsiTheme="minorEastAsia" w:eastAsiaTheme="minorEastAsia" w:cstheme="minor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8566" w:type="dxa"/>
            <w:gridSpan w:val="7"/>
            <w:vAlign w:val="center"/>
          </w:tcPr>
          <w:p>
            <w:pPr>
              <w:jc w:val="center"/>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cstheme="minorEastAsia"/>
                <w:b/>
                <w:bCs/>
                <w:sz w:val="24"/>
                <w:szCs w:val="24"/>
                <w:vertAlign w:val="baseline"/>
                <w:lang w:eastAsia="zh-CN"/>
              </w:rPr>
              <w:t>特色招引政策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5" w:hRule="exact"/>
        </w:trPr>
        <w:tc>
          <w:tcPr>
            <w:tcW w:w="8566" w:type="dxa"/>
            <w:gridSpan w:val="7"/>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80"/>
              <w:jc w:val="left"/>
              <w:rPr>
                <w:rFonts w:hint="eastAsia" w:ascii="宋体" w:hAnsi="宋体" w:eastAsia="宋体" w:cs="宋体"/>
                <w:b w:val="0"/>
                <w:bCs w:val="0"/>
                <w:i w:val="0"/>
                <w:caps w:val="0"/>
                <w:color w:val="333333"/>
                <w:spacing w:val="0"/>
                <w:sz w:val="21"/>
                <w:szCs w:val="21"/>
                <w:shd w:val="clear" w:color="auto"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80"/>
              <w:jc w:val="left"/>
              <w:rPr>
                <w:rFonts w:hint="eastAsia" w:ascii="宋体" w:hAnsi="宋体" w:eastAsia="宋体" w:cs="宋体"/>
                <w:b w:val="0"/>
                <w:bCs w:val="0"/>
                <w:i w:val="0"/>
                <w:caps w:val="0"/>
                <w:color w:val="333333"/>
                <w:spacing w:val="0"/>
                <w:sz w:val="15"/>
                <w:szCs w:val="15"/>
              </w:rPr>
            </w:pPr>
            <w:r>
              <w:rPr>
                <w:rFonts w:hint="eastAsia" w:ascii="宋体" w:hAnsi="宋体" w:eastAsia="宋体" w:cs="宋体"/>
                <w:b w:val="0"/>
                <w:bCs w:val="0"/>
                <w:i w:val="0"/>
                <w:caps w:val="0"/>
                <w:color w:val="333333"/>
                <w:spacing w:val="0"/>
                <w:sz w:val="21"/>
                <w:szCs w:val="21"/>
                <w:shd w:val="clear" w:color="auto" w:fill="FFFFFF"/>
                <w:lang w:val="en-US" w:eastAsia="zh-CN"/>
              </w:rPr>
              <w:t>在公司就职后还可享受</w:t>
            </w:r>
            <w:r>
              <w:rPr>
                <w:rFonts w:hint="eastAsia" w:ascii="宋体" w:hAnsi="宋体" w:eastAsia="宋体" w:cs="宋体"/>
                <w:b w:val="0"/>
                <w:bCs w:val="0"/>
                <w:i w:val="0"/>
                <w:caps w:val="0"/>
                <w:color w:val="333333"/>
                <w:spacing w:val="0"/>
                <w:sz w:val="21"/>
                <w:szCs w:val="21"/>
                <w:shd w:val="clear" w:color="auto" w:fill="FFFFFF"/>
              </w:rPr>
              <w:t>淄博市政府人才政策：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80"/>
              <w:jc w:val="left"/>
              <w:rPr>
                <w:rFonts w:hint="eastAsia" w:ascii="宋体" w:hAnsi="宋体" w:eastAsia="宋体" w:cs="宋体"/>
                <w:b w:val="0"/>
                <w:bCs w:val="0"/>
                <w:i w:val="0"/>
                <w:caps w:val="0"/>
                <w:color w:val="333333"/>
                <w:spacing w:val="0"/>
                <w:sz w:val="15"/>
                <w:szCs w:val="15"/>
              </w:rPr>
            </w:pPr>
            <w:r>
              <w:rPr>
                <w:rFonts w:hint="eastAsia" w:ascii="宋体" w:hAnsi="宋体" w:eastAsia="宋体" w:cs="宋体"/>
                <w:b w:val="0"/>
                <w:bCs w:val="0"/>
                <w:i w:val="0"/>
                <w:caps w:val="0"/>
                <w:color w:val="333333"/>
                <w:spacing w:val="0"/>
                <w:sz w:val="21"/>
                <w:szCs w:val="21"/>
                <w:shd w:val="clear" w:color="auto" w:fill="FFFFFF"/>
              </w:rPr>
              <w:t>博士一次性购房补助30万元，五年内享受政府补贴4000元/月；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80"/>
              <w:jc w:val="left"/>
              <w:rPr>
                <w:rFonts w:hint="eastAsia" w:ascii="宋体" w:hAnsi="宋体" w:eastAsia="宋体" w:cs="宋体"/>
                <w:b w:val="0"/>
                <w:bCs w:val="0"/>
                <w:i w:val="0"/>
                <w:caps w:val="0"/>
                <w:color w:val="333333"/>
                <w:spacing w:val="0"/>
                <w:sz w:val="15"/>
                <w:szCs w:val="15"/>
              </w:rPr>
            </w:pPr>
            <w:r>
              <w:rPr>
                <w:rFonts w:hint="eastAsia" w:ascii="宋体" w:hAnsi="宋体" w:eastAsia="宋体" w:cs="宋体"/>
                <w:b w:val="0"/>
                <w:bCs w:val="0"/>
                <w:i w:val="0"/>
                <w:caps w:val="0"/>
                <w:color w:val="333333"/>
                <w:spacing w:val="0"/>
                <w:sz w:val="21"/>
                <w:szCs w:val="21"/>
                <w:shd w:val="clear" w:color="auto" w:fill="FFFFFF"/>
              </w:rPr>
              <w:t>硕士一次性购房补助8万元，五年内享受政府补贴2000元/月；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80"/>
              <w:jc w:val="left"/>
              <w:rPr>
                <w:rFonts w:hint="eastAsia" w:ascii="宋体" w:hAnsi="宋体" w:eastAsia="宋体" w:cs="宋体"/>
                <w:b w:val="0"/>
                <w:bCs w:val="0"/>
                <w:i w:val="0"/>
                <w:caps w:val="0"/>
                <w:color w:val="333333"/>
                <w:spacing w:val="0"/>
                <w:sz w:val="21"/>
                <w:szCs w:val="21"/>
                <w:shd w:val="clear" w:color="auto" w:fill="FFFFFF"/>
              </w:rPr>
            </w:pPr>
            <w:r>
              <w:rPr>
                <w:rFonts w:hint="eastAsia" w:ascii="宋体" w:hAnsi="宋体" w:eastAsia="宋体" w:cs="宋体"/>
                <w:b w:val="0"/>
                <w:bCs w:val="0"/>
                <w:i w:val="0"/>
                <w:caps w:val="0"/>
                <w:color w:val="333333"/>
                <w:spacing w:val="0"/>
                <w:sz w:val="21"/>
                <w:szCs w:val="21"/>
                <w:shd w:val="clear" w:color="auto" w:fill="FFFFFF"/>
              </w:rPr>
              <w:t>全日制本科生一次性购房补助5万元，五年内享受政府补贴1000元/月。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80"/>
              <w:jc w:val="left"/>
              <w:rPr>
                <w:rFonts w:hint="eastAsia" w:ascii="宋体" w:hAnsi="宋体" w:eastAsia="宋体" w:cs="宋体"/>
                <w:b w:val="0"/>
                <w:bCs w:val="0"/>
                <w:i w:val="0"/>
                <w:caps w:val="0"/>
                <w:color w:val="333333"/>
                <w:spacing w:val="0"/>
                <w:sz w:val="21"/>
                <w:szCs w:val="21"/>
                <w:shd w:val="clear" w:color="auto" w:fill="FFFFFF"/>
                <w:lang w:eastAsia="zh-CN"/>
              </w:rPr>
            </w:pPr>
            <w:r>
              <w:rPr>
                <w:rFonts w:hint="eastAsia" w:ascii="宋体" w:hAnsi="宋体" w:eastAsia="宋体" w:cs="宋体"/>
                <w:b w:val="0"/>
                <w:bCs w:val="0"/>
                <w:i w:val="0"/>
                <w:caps w:val="0"/>
                <w:color w:val="333333"/>
                <w:spacing w:val="0"/>
                <w:sz w:val="21"/>
                <w:szCs w:val="21"/>
                <w:shd w:val="clear" w:color="auto" w:fill="FFFFFF"/>
                <w:lang w:eastAsia="zh-CN"/>
              </w:rPr>
              <w:t>另可享受公司餐补、免费住宿、绩效奖金、年终奖等各项福利。</w:t>
            </w:r>
          </w:p>
          <w:p>
            <w:pPr>
              <w:jc w:val="center"/>
              <w:rPr>
                <w:rFonts w:hint="eastAsia" w:asciiTheme="minorEastAsia" w:hAnsiTheme="minorEastAsia" w:eastAsiaTheme="minorEastAsia" w:cstheme="minorEastAsia"/>
                <w:sz w:val="24"/>
                <w:szCs w:val="24"/>
                <w:vertAlign w:val="baseline"/>
                <w:lang w:eastAsia="zh-CN"/>
              </w:rPr>
            </w:pPr>
            <w:bookmarkStart w:id="0" w:name="_GoBack"/>
            <w:bookmarkEnd w:id="0"/>
          </w:p>
        </w:tc>
      </w:tr>
    </w:tbl>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val="en-US" w:eastAsia="zh-CN"/>
        </w:rPr>
        <w:t>2020年</w:t>
      </w:r>
      <w:r>
        <w:rPr>
          <w:rFonts w:hint="eastAsia" w:ascii="方正小标宋简体" w:hAnsi="方正小标宋简体" w:eastAsia="方正小标宋简体" w:cs="方正小标宋简体"/>
          <w:sz w:val="36"/>
          <w:szCs w:val="36"/>
          <w:lang w:eastAsia="zh-CN"/>
        </w:rPr>
        <w:t>“淄博</w:t>
      </w:r>
      <w:r>
        <w:rPr>
          <w:rFonts w:hint="eastAsia" w:ascii="方正小标宋简体" w:hAnsi="方正小标宋简体" w:eastAsia="方正小标宋简体" w:cs="方正小标宋简体"/>
          <w:sz w:val="36"/>
          <w:szCs w:val="36"/>
          <w:lang w:val="en-US" w:eastAsia="zh-CN"/>
        </w:rPr>
        <w:t>-名校人才直通车</w:t>
      </w:r>
      <w:r>
        <w:rPr>
          <w:rFonts w:hint="eastAsia" w:ascii="方正小标宋简体" w:hAnsi="方正小标宋简体" w:eastAsia="方正小标宋简体" w:cs="方正小标宋简体"/>
          <w:sz w:val="36"/>
          <w:szCs w:val="36"/>
          <w:lang w:eastAsia="zh-CN"/>
        </w:rPr>
        <w:t>”山东理工大学站</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春季线上招聘周企业报名表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00000000000000000"/>
    <w:charset w:val="86"/>
    <w:family w:val="auto"/>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54446B"/>
    <w:rsid w:val="0AF63BCA"/>
    <w:rsid w:val="19846DA4"/>
    <w:rsid w:val="27E75146"/>
    <w:rsid w:val="392B204B"/>
    <w:rsid w:val="47961BFD"/>
    <w:rsid w:val="4FD22C3D"/>
    <w:rsid w:val="61CB3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2020-05-11T06:15:00Z</dcterms:created>
  <dc:creator>Administrator</dc:creator>
  <cp:lastModifiedBy>浅唱</cp:lastModifiedBy>
  <dcterms:modified xsi:type="dcterms:W3CDTF">2020-05-13T02:30:05Z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